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0"/>
      </w:tblGrid>
      <w:tr w:rsidR="00DE705D">
        <w:trPr>
          <w:trHeight w:val="15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1F1F1"/>
          </w:tcPr>
          <w:p w:rsidR="00DE705D" w:rsidRDefault="00B0757A">
            <w:pPr>
              <w:pBdr>
                <w:bottom w:val="single" w:sz="6" w:space="0" w:color="DDDDDD"/>
              </w:pBdr>
              <w:shd w:val="clear" w:color="auto" w:fill="F1F1F1"/>
              <w:spacing w:line="660" w:lineRule="atLeast"/>
              <w:ind w:right="60"/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  <w:t xml:space="preserve">Chapter 04 Test: Federalism </w:t>
            </w:r>
            <w:r w:rsidR="008B6CE2"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  <w:t>–</w:t>
            </w:r>
            <w:r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  <w:t xml:space="preserve"> </w:t>
            </w:r>
            <w:r w:rsidR="008B6CE2"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  <w:t xml:space="preserve">Study Guide </w:t>
            </w:r>
            <w:r>
              <w:rPr>
                <w:rFonts w:ascii="Arial" w:hAnsi="Arial" w:cs="Arial"/>
                <w:b/>
                <w:bCs/>
                <w:color w:val="05025F"/>
                <w:sz w:val="27"/>
                <w:szCs w:val="27"/>
              </w:rPr>
              <w:t>summary</w:t>
            </w:r>
            <w:bookmarkStart w:id="0" w:name="_GoBack"/>
            <w:bookmarkEnd w:id="0"/>
          </w:p>
          <w:p w:rsidR="00DE705D" w:rsidRDefault="008B6CE2">
            <w:pPr>
              <w:pStyle w:val="alignright"/>
              <w:pBdr>
                <w:left w:val="single" w:sz="2" w:space="0" w:color="DDDDDD"/>
                <w:right w:val="single" w:sz="2" w:space="0" w:color="DDDDDD"/>
              </w:pBdr>
              <w:shd w:val="clear" w:color="auto" w:fill="FFFFFF"/>
              <w:spacing w:before="0" w:beforeAutospacing="0" w:after="0" w:afterAutospacing="0"/>
              <w:ind w:right="150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B0757A">
                <w:rPr>
                  <w:rStyle w:val="Hyperlink"/>
                  <w:rFonts w:ascii="Arial" w:hAnsi="Arial" w:cs="Arial"/>
                  <w:color w:val="0033FF"/>
                  <w:sz w:val="18"/>
                  <w:szCs w:val="18"/>
                </w:rPr>
                <w:t>Help</w:t>
              </w:r>
            </w:hyperlink>
          </w:p>
          <w:tbl>
            <w:tblPr>
              <w:tblW w:w="375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"/>
              <w:gridCol w:w="10793"/>
            </w:tblGrid>
            <w:tr w:rsidR="00DE705D">
              <w:trPr>
                <w:tblCellSpacing w:w="0" w:type="dxa"/>
              </w:trPr>
              <w:tc>
                <w:tcPr>
                  <w:tcW w:w="0" w:type="auto"/>
                </w:tcPr>
                <w:p w:rsidR="00DE705D" w:rsidRDefault="00DE705D">
                  <w:pPr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7"/>
                  </w:tblGrid>
                  <w:tr w:rsidR="008B6CE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</w:tcPr>
                      <w:p w:rsidR="008B6CE2" w:rsidRDefault="008B6CE2">
                        <w:pPr>
                          <w:spacing w:after="150"/>
                          <w:rPr>
                            <w:rFonts w:ascii="Tahoma" w:eastAsia="Arial Unicode MS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8B6CE2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</w:tcPr>
                      <w:p w:rsidR="008B6CE2" w:rsidRDefault="008B6CE2">
                        <w:pPr>
                          <w:spacing w:after="150"/>
                          <w:rPr>
                            <w:rFonts w:ascii="Tahoma" w:eastAsia="Arial Unicode MS" w:hAnsi="Tahoma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DE705D" w:rsidRDefault="00DE705D">
                  <w:pPr>
                    <w:jc w:val="right"/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DE705D" w:rsidRDefault="00B0757A">
            <w:pPr>
              <w:pBdr>
                <w:left w:val="single" w:sz="2" w:space="0" w:color="DDDDDD"/>
                <w:right w:val="single" w:sz="2" w:space="0" w:color="DDDDDD"/>
              </w:pBdr>
              <w:shd w:val="clear" w:color="auto" w:fill="FFFFFF"/>
              <w:spacing w:line="15" w:lineRule="atLeast"/>
              <w:rPr>
                <w:rFonts w:ascii="Arial" w:eastAsia="Arial Unicode MS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</w:p>
        </w:tc>
      </w:tr>
      <w:tr w:rsidR="00DE705D" w:rsidTr="008B6CE2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240" w:type="dxa"/>
              <w:bottom w:w="360" w:type="dxa"/>
              <w:right w:w="240" w:type="dxa"/>
            </w:tcMar>
          </w:tcPr>
          <w:p w:rsidR="00DE705D" w:rsidRDefault="00B0757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  Test Summary</w:t>
            </w:r>
            <w:r w:rsidR="008B6CE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Questions to study off of chapter 4 Study Guide</w:t>
            </w:r>
          </w:p>
          <w:tbl>
            <w:tblPr>
              <w:tblW w:w="5000" w:type="pct"/>
              <w:tblCellSpacing w:w="7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89"/>
              <w:gridCol w:w="1283"/>
              <w:gridCol w:w="1850"/>
              <w:gridCol w:w="3092"/>
            </w:tblGrid>
            <w:tr w:rsidR="00DE705D">
              <w:trPr>
                <w:tblCellSpacing w:w="7" w:type="dxa"/>
              </w:trPr>
              <w:tc>
                <w:tcPr>
                  <w:tcW w:w="7005" w:type="dxa"/>
                  <w:tcBorders>
                    <w:right w:val="single" w:sz="6" w:space="0" w:color="FFFFFF"/>
                  </w:tcBorders>
                  <w:vAlign w:val="center"/>
                </w:tcPr>
                <w:p w:rsidR="00DE705D" w:rsidRDefault="00B0757A">
                  <w:pPr>
                    <w:rPr>
                      <w:rStyle w:val="Hyperlink"/>
                      <w:color w:val="0033FF"/>
                      <w:u w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HYPERLINK "https://www.pearsonsuccessnet.com/snpapp/authoring/viewTestSummary.do?method=getTestSummary&amp;testId=280483"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</w:p>
                <w:p w:rsidR="00DE705D" w:rsidRDefault="00B0757A">
                  <w:pPr>
                    <w:pBdr>
                      <w:top w:val="single" w:sz="6" w:space="7" w:color="CCCCCC"/>
                      <w:left w:val="single" w:sz="6" w:space="5" w:color="CCCCCC"/>
                      <w:right w:val="single" w:sz="6" w:space="8" w:color="CCCCCC"/>
                    </w:pBd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  <w:t>  Description</w:t>
                  </w:r>
                </w:p>
                <w:p w:rsidR="00DE705D" w:rsidRDefault="00B0757A">
                  <w:pPr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1395" w:type="dxa"/>
                  <w:tcBorders>
                    <w:right w:val="single" w:sz="6" w:space="0" w:color="FFFFFF"/>
                  </w:tcBorders>
                  <w:vAlign w:val="center"/>
                </w:tcPr>
                <w:p w:rsidR="00DE705D" w:rsidRDefault="00B0757A">
                  <w:pPr>
                    <w:rPr>
                      <w:rStyle w:val="Hyperlink"/>
                      <w:color w:val="0033FF"/>
                      <w:u w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HYPERLINK "https://www.pearsonsuccessnet.com/snpapp/authoring/viewTestSummary.do?method=getTestSummary&amp;testId=280483"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</w:p>
                <w:p w:rsidR="00DE705D" w:rsidRDefault="00B0757A">
                  <w:pPr>
                    <w:pBdr>
                      <w:top w:val="single" w:sz="6" w:space="7" w:color="CCCCCC"/>
                      <w:left w:val="single" w:sz="6" w:space="5" w:color="CCCCCC"/>
                      <w:right w:val="single" w:sz="6" w:space="8" w:color="CCCCCC"/>
                    </w:pBd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  <w:t>  #Items</w:t>
                  </w:r>
                </w:p>
                <w:p w:rsidR="00DE705D" w:rsidRDefault="00B0757A">
                  <w:pPr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085" w:type="dxa"/>
                  <w:tcBorders>
                    <w:right w:val="single" w:sz="6" w:space="0" w:color="FFFFFF"/>
                  </w:tcBorders>
                  <w:vAlign w:val="center"/>
                </w:tcPr>
                <w:p w:rsidR="00DE705D" w:rsidRDefault="00B0757A">
                  <w:pPr>
                    <w:rPr>
                      <w:rStyle w:val="Hyperlink"/>
                      <w:color w:val="0033FF"/>
                      <w:u w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HYPERLINK "https://www.pearsonsuccessnet.com/snpapp/authoring/viewTestSummary.do?method=getTestSummary&amp;testId=280483"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</w:p>
                <w:p w:rsidR="00DE705D" w:rsidRDefault="00B0757A">
                  <w:pPr>
                    <w:pBdr>
                      <w:top w:val="single" w:sz="6" w:space="7" w:color="CCCCCC"/>
                      <w:left w:val="single" w:sz="6" w:space="5" w:color="CCCCCC"/>
                      <w:right w:val="single" w:sz="6" w:space="8" w:color="CCCCCC"/>
                    </w:pBd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  <w:t>  Total Pts</w:t>
                  </w:r>
                </w:p>
                <w:p w:rsidR="00DE705D" w:rsidRDefault="00B0757A">
                  <w:pPr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3480" w:type="dxa"/>
                  <w:tcBorders>
                    <w:right w:val="single" w:sz="6" w:space="0" w:color="FFFFFF"/>
                  </w:tcBorders>
                  <w:vAlign w:val="center"/>
                </w:tcPr>
                <w:p w:rsidR="00DE705D" w:rsidRDefault="00B0757A">
                  <w:pPr>
                    <w:rPr>
                      <w:rStyle w:val="Hyperlink"/>
                      <w:color w:val="0033FF"/>
                      <w:u w:val="non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instrText xml:space="preserve"> HYPERLINK "https://www.pearsonsuccessnet.com/snpapp/authoring/viewTestSummary.do?method=getTestSummary&amp;testId=280483" </w:instrTex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</w:p>
                <w:p w:rsidR="00DE705D" w:rsidRDefault="00B0757A">
                  <w:pPr>
                    <w:pBdr>
                      <w:top w:val="single" w:sz="6" w:space="7" w:color="CCCCCC"/>
                      <w:left w:val="single" w:sz="6" w:space="5" w:color="CCCCCC"/>
                      <w:right w:val="single" w:sz="6" w:space="8" w:color="CCCCCC"/>
                    </w:pBd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1709F"/>
                      <w:sz w:val="17"/>
                      <w:szCs w:val="17"/>
                    </w:rPr>
                    <w:t>  Required Pts for Mastery</w:t>
                  </w:r>
                </w:p>
                <w:p w:rsidR="00DE705D" w:rsidRDefault="00B0757A">
                  <w:pPr>
                    <w:rPr>
                      <w:rFonts w:ascii="Arial" w:eastAsia="Arial Unicode MS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Examine the many and growing areas of cooperative federalism.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Examine the Constitution as "the supreme Law of the Land."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0.75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Describe the Extradition Clause and explain its purpose.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0.75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Understand the purpose of the Full Faith and Credit Clause.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Explain the process for admitting new States to the Union.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Summarize the obligations that the Constitution places on the National Government with regard to the States.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Explain the purpose of the Privileges and Immunities Clause.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Examine why States form interstate compacts.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Define federalism and explain why the Framers chose this system.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1.5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Identify powers delegated to and denied to the National Government and powers reserved for and denied to the States.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3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3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EBEBEB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2.25</w:t>
                  </w:r>
                </w:p>
              </w:tc>
            </w:tr>
            <w:tr w:rsidR="00DE705D">
              <w:trPr>
                <w:trHeight w:val="375"/>
                <w:tblCellSpacing w:w="7" w:type="dxa"/>
              </w:trPr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Explain the difference between exclusive and concurrent powers.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1</w:t>
                  </w:r>
                </w:p>
              </w:tc>
              <w:tc>
                <w:tcPr>
                  <w:tcW w:w="0" w:type="auto"/>
                  <w:tcBorders>
                    <w:right w:val="single" w:sz="6" w:space="0" w:color="FFFFFF"/>
                  </w:tcBorders>
                  <w:shd w:val="clear" w:color="auto" w:fill="FFFFFF"/>
                  <w:vAlign w:val="center"/>
                </w:tcPr>
                <w:p w:rsidR="00DE705D" w:rsidRDefault="00B0757A">
                  <w:pPr>
                    <w:rPr>
                      <w:rFonts w:ascii="Arial" w:eastAsia="Arial Unicode MS" w:hAnsi="Arial" w:cs="Arial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33"/>
                      <w:sz w:val="17"/>
                      <w:szCs w:val="17"/>
                    </w:rPr>
                    <w:t>  0.75</w:t>
                  </w:r>
                </w:p>
              </w:tc>
            </w:tr>
          </w:tbl>
          <w:p w:rsidR="00DE705D" w:rsidRPr="008B6CE2" w:rsidRDefault="00DE705D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B0757A" w:rsidRDefault="00B0757A"/>
    <w:sectPr w:rsidR="00B075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77"/>
    <w:rsid w:val="008A1177"/>
    <w:rsid w:val="008B6CE2"/>
    <w:rsid w:val="00B0757A"/>
    <w:rsid w:val="00D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D6470-4E34-4BCC-ABEE-68C34B27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alignright">
    <w:name w:val="alignrigh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dow_UA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04 Test: Federalism - summary</vt:lpstr>
    </vt:vector>
  </TitlesOfParts>
  <Company> </Company>
  <LinksUpToDate>false</LinksUpToDate>
  <CharactersWithSpaces>1680</CharactersWithSpaces>
  <SharedDoc>false</SharedDoc>
  <HLinks>
    <vt:vector size="30" baseType="variant">
      <vt:variant>
        <vt:i4>1507355</vt:i4>
      </vt:variant>
      <vt:variant>
        <vt:i4>12</vt:i4>
      </vt:variant>
      <vt:variant>
        <vt:i4>0</vt:i4>
      </vt:variant>
      <vt:variant>
        <vt:i4>5</vt:i4>
      </vt:variant>
      <vt:variant>
        <vt:lpwstr>https://www.pearsonsuccessnet.com/snpapp/authoring/viewTestSummary.do?method=getTestSummary&amp;testId=280483</vt:lpwstr>
      </vt:variant>
      <vt:variant>
        <vt:lpwstr/>
      </vt:variant>
      <vt:variant>
        <vt:i4>1507355</vt:i4>
      </vt:variant>
      <vt:variant>
        <vt:i4>9</vt:i4>
      </vt:variant>
      <vt:variant>
        <vt:i4>0</vt:i4>
      </vt:variant>
      <vt:variant>
        <vt:i4>5</vt:i4>
      </vt:variant>
      <vt:variant>
        <vt:lpwstr>https://www.pearsonsuccessnet.com/snpapp/authoring/viewTestSummary.do?method=getTestSummary&amp;testId=280483</vt:lpwstr>
      </vt:variant>
      <vt:variant>
        <vt:lpwstr/>
      </vt:variant>
      <vt:variant>
        <vt:i4>1507355</vt:i4>
      </vt:variant>
      <vt:variant>
        <vt:i4>6</vt:i4>
      </vt:variant>
      <vt:variant>
        <vt:i4>0</vt:i4>
      </vt:variant>
      <vt:variant>
        <vt:i4>5</vt:i4>
      </vt:variant>
      <vt:variant>
        <vt:lpwstr>https://www.pearsonsuccessnet.com/snpapp/authoring/viewTestSummary.do?method=getTestSummary&amp;testId=280483</vt:lpwstr>
      </vt:variant>
      <vt:variant>
        <vt:lpwstr/>
      </vt:variant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https://www.pearsonsuccessnet.com/snpapp/authoring/viewTestSummary.do?method=getTestSummary&amp;testId=280483</vt:lpwstr>
      </vt:variant>
      <vt:variant>
        <vt:lpwstr/>
      </vt:variant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javascript:window_UA()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04 Test: Federalism - summary</dc:title>
  <dc:subject/>
  <dc:creator>Ryan Kay</dc:creator>
  <cp:keywords/>
  <dc:description/>
  <cp:lastModifiedBy>Ryan Kay</cp:lastModifiedBy>
  <cp:revision>2</cp:revision>
  <dcterms:created xsi:type="dcterms:W3CDTF">2015-03-22T01:12:00Z</dcterms:created>
  <dcterms:modified xsi:type="dcterms:W3CDTF">2015-03-22T01:12:00Z</dcterms:modified>
</cp:coreProperties>
</file>