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2" w:rsidRDefault="001F71AB" w:rsidP="001F71A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D25C3">
        <w:rPr>
          <w:b/>
          <w:sz w:val="28"/>
          <w:szCs w:val="28"/>
        </w:rPr>
        <w:t>Opposing Viewpoint Response</w:t>
      </w:r>
      <w:r w:rsidR="00F81EA3">
        <w:rPr>
          <w:b/>
          <w:sz w:val="28"/>
          <w:szCs w:val="28"/>
        </w:rPr>
        <w:t xml:space="preserve"> Assessment</w:t>
      </w:r>
      <w:r w:rsidRPr="007D25C3">
        <w:rPr>
          <w:b/>
          <w:sz w:val="28"/>
          <w:szCs w:val="28"/>
        </w:rPr>
        <w:t>:</w:t>
      </w:r>
    </w:p>
    <w:p w:rsidR="00F81EA3" w:rsidRDefault="00F81EA3" w:rsidP="00F81EA3">
      <w:pPr>
        <w:spacing w:after="0" w:line="240" w:lineRule="auto"/>
        <w:rPr>
          <w:b/>
        </w:rPr>
      </w:pPr>
      <w:r w:rsidRPr="00F81EA3">
        <w:rPr>
          <w:b/>
          <w:highlight w:val="yellow"/>
        </w:rPr>
        <w:t>Topic?</w:t>
      </w:r>
    </w:p>
    <w:p w:rsidR="00F81EA3" w:rsidRPr="00F81EA3" w:rsidRDefault="00F81EA3" w:rsidP="00F81EA3">
      <w:pPr>
        <w:spacing w:after="0" w:line="240" w:lineRule="auto"/>
        <w:rPr>
          <w:b/>
        </w:rPr>
      </w:pPr>
      <w:r>
        <w:rPr>
          <w:b/>
        </w:rPr>
        <w:t>To increase the minimum wage in this countr</w:t>
      </w:r>
      <w:r w:rsidR="00B336BE">
        <w:rPr>
          <w:b/>
        </w:rPr>
        <w:t>y or to keep the minimum wage at</w:t>
      </w:r>
      <w:r>
        <w:rPr>
          <w:b/>
        </w:rPr>
        <w:t xml:space="preserve"> its current amount.</w:t>
      </w:r>
    </w:p>
    <w:p w:rsidR="001F71AB" w:rsidRDefault="001F71AB" w:rsidP="001F71AB">
      <w:pPr>
        <w:spacing w:after="0" w:line="240" w:lineRule="auto"/>
        <w:jc w:val="center"/>
        <w:rPr>
          <w:b/>
        </w:rPr>
      </w:pPr>
    </w:p>
    <w:p w:rsidR="007D25C3" w:rsidRDefault="007D25C3" w:rsidP="001F71AB">
      <w:pPr>
        <w:spacing w:after="0" w:line="240" w:lineRule="auto"/>
        <w:rPr>
          <w:b/>
        </w:rPr>
      </w:pPr>
      <w:r w:rsidRPr="007D25C3">
        <w:rPr>
          <w:b/>
          <w:highlight w:val="yellow"/>
        </w:rPr>
        <w:t>Is it an Extend Learning Opportunity (Homework</w:t>
      </w:r>
      <w:r>
        <w:rPr>
          <w:b/>
          <w:highlight w:val="yellow"/>
        </w:rPr>
        <w:t>)</w:t>
      </w:r>
      <w:r w:rsidRPr="007D25C3">
        <w:rPr>
          <w:b/>
          <w:highlight w:val="yellow"/>
        </w:rPr>
        <w:t xml:space="preserve"> or an Assessment?</w:t>
      </w:r>
      <w:r>
        <w:rPr>
          <w:b/>
        </w:rPr>
        <w:t xml:space="preserve"> </w:t>
      </w:r>
    </w:p>
    <w:p w:rsidR="001F71AB" w:rsidRDefault="001F71AB" w:rsidP="001F71AB">
      <w:pPr>
        <w:spacing w:after="0" w:line="240" w:lineRule="auto"/>
        <w:rPr>
          <w:b/>
        </w:rPr>
      </w:pPr>
      <w:r>
        <w:rPr>
          <w:b/>
        </w:rPr>
        <w:t xml:space="preserve">*It will be graded as an </w:t>
      </w:r>
      <w:r w:rsidRPr="001F71AB">
        <w:rPr>
          <w:b/>
        </w:rPr>
        <w:t>Assessment</w:t>
      </w:r>
    </w:p>
    <w:p w:rsidR="007D25C3" w:rsidRDefault="007D25C3" w:rsidP="001F71AB">
      <w:pPr>
        <w:spacing w:after="0" w:line="240" w:lineRule="auto"/>
        <w:rPr>
          <w:b/>
        </w:rPr>
      </w:pPr>
    </w:p>
    <w:p w:rsidR="007D25C3" w:rsidRDefault="007D25C3" w:rsidP="001F71AB">
      <w:pPr>
        <w:spacing w:after="0" w:line="240" w:lineRule="auto"/>
        <w:rPr>
          <w:b/>
        </w:rPr>
      </w:pPr>
      <w:r w:rsidRPr="007D25C3">
        <w:rPr>
          <w:b/>
          <w:highlight w:val="yellow"/>
        </w:rPr>
        <w:t>What to write and what is the actual question that needs to be answered and addressed in our essay?</w:t>
      </w:r>
    </w:p>
    <w:p w:rsidR="001F71AB" w:rsidRDefault="001F71AB" w:rsidP="001F71AB">
      <w:pPr>
        <w:spacing w:after="0" w:line="240" w:lineRule="auto"/>
        <w:rPr>
          <w:b/>
        </w:rPr>
      </w:pPr>
      <w:r>
        <w:rPr>
          <w:b/>
        </w:rPr>
        <w:t xml:space="preserve">You will be asked to write a persuasive response reflecting </w:t>
      </w:r>
      <w:r w:rsidR="007D25C3">
        <w:rPr>
          <w:b/>
        </w:rPr>
        <w:t xml:space="preserve">on </w:t>
      </w:r>
      <w:r>
        <w:rPr>
          <w:b/>
        </w:rPr>
        <w:t>either the</w:t>
      </w:r>
      <w:r w:rsidR="007D25C3">
        <w:rPr>
          <w:b/>
        </w:rPr>
        <w:t xml:space="preserve"> pro or con benefits and or drawbacks about a </w:t>
      </w:r>
      <w:r w:rsidRPr="001F71AB">
        <w:rPr>
          <w:b/>
        </w:rPr>
        <w:t>living wage</w:t>
      </w:r>
      <w:r>
        <w:rPr>
          <w:b/>
        </w:rPr>
        <w:t xml:space="preserve"> as it pertains to the possibility of increasing the </w:t>
      </w:r>
      <w:r w:rsidR="007D25C3">
        <w:rPr>
          <w:b/>
        </w:rPr>
        <w:t>minimum</w:t>
      </w:r>
      <w:r>
        <w:rPr>
          <w:b/>
        </w:rPr>
        <w:t xml:space="preserve"> wage</w:t>
      </w:r>
      <w:r w:rsidRPr="001F71AB">
        <w:rPr>
          <w:b/>
        </w:rPr>
        <w:t xml:space="preserve"> and</w:t>
      </w:r>
      <w:r>
        <w:rPr>
          <w:b/>
        </w:rPr>
        <w:t xml:space="preserve"> what is the role of our government in either increasing or maintaining our current minimum wage rate as you in your writing response will be</w:t>
      </w:r>
      <w:r w:rsidRPr="001F71AB">
        <w:rPr>
          <w:b/>
        </w:rPr>
        <w:t xml:space="preserve"> asking for specific action.</w:t>
      </w:r>
    </w:p>
    <w:p w:rsidR="007D25C3" w:rsidRDefault="007D25C3" w:rsidP="001F71AB">
      <w:pPr>
        <w:spacing w:after="0" w:line="240" w:lineRule="auto"/>
        <w:rPr>
          <w:b/>
        </w:rPr>
      </w:pPr>
    </w:p>
    <w:p w:rsidR="007D25C3" w:rsidRDefault="007D25C3" w:rsidP="001F71AB">
      <w:pPr>
        <w:spacing w:after="0" w:line="240" w:lineRule="auto"/>
        <w:rPr>
          <w:b/>
        </w:rPr>
      </w:pPr>
      <w:r w:rsidRPr="007D25C3">
        <w:rPr>
          <w:b/>
          <w:highlight w:val="yellow"/>
        </w:rPr>
        <w:t>What is expected of you in your opposing viewpoint response?</w:t>
      </w:r>
    </w:p>
    <w:p w:rsidR="007D25C3" w:rsidRDefault="007D25C3" w:rsidP="001F71AB">
      <w:pPr>
        <w:spacing w:after="0" w:line="240" w:lineRule="auto"/>
        <w:rPr>
          <w:b/>
        </w:rPr>
      </w:pPr>
    </w:p>
    <w:p w:rsidR="007D25C3" w:rsidRPr="007D25C3" w:rsidRDefault="007D25C3" w:rsidP="007D25C3">
      <w:pPr>
        <w:spacing w:after="0" w:line="240" w:lineRule="auto"/>
        <w:rPr>
          <w:b/>
        </w:rPr>
      </w:pPr>
      <w:r>
        <w:rPr>
          <w:b/>
        </w:rPr>
        <w:t xml:space="preserve">Your opposing viewpoint response </w:t>
      </w:r>
      <w:r w:rsidR="000B720D">
        <w:rPr>
          <w:b/>
        </w:rPr>
        <w:t>will be evaluated by the depth of your</w:t>
      </w:r>
      <w:r w:rsidRPr="007D25C3">
        <w:rPr>
          <w:b/>
        </w:rPr>
        <w:t xml:space="preserve"> argument, their use of evid</w:t>
      </w:r>
      <w:r w:rsidR="000B720D">
        <w:rPr>
          <w:b/>
        </w:rPr>
        <w:t xml:space="preserve">ence, your accuracy, and your </w:t>
      </w:r>
      <w:r w:rsidRPr="007D25C3">
        <w:rPr>
          <w:b/>
        </w:rPr>
        <w:t>writing/grammar.</w:t>
      </w:r>
    </w:p>
    <w:p w:rsidR="000B720D" w:rsidRDefault="007D25C3" w:rsidP="007D25C3">
      <w:pPr>
        <w:spacing w:after="0" w:line="240" w:lineRule="auto"/>
        <w:rPr>
          <w:b/>
        </w:rPr>
      </w:pPr>
      <w:r>
        <w:rPr>
          <w:b/>
        </w:rPr>
        <w:t>See</w:t>
      </w:r>
      <w:r w:rsidR="000B720D">
        <w:rPr>
          <w:b/>
        </w:rPr>
        <w:t xml:space="preserve"> </w:t>
      </w:r>
      <w:hyperlink r:id="rId5" w:history="1">
        <w:r w:rsidR="000B720D" w:rsidRPr="00523806">
          <w:rPr>
            <w:rStyle w:val="Hyperlink"/>
            <w:b/>
          </w:rPr>
          <w:t>http://mrkay.weebly.com/wsj-opposing-viewpoint-act-responses.html</w:t>
        </w:r>
      </w:hyperlink>
      <w:r w:rsidR="000B720D">
        <w:rPr>
          <w:b/>
        </w:rPr>
        <w:t xml:space="preserve"> and </w:t>
      </w:r>
      <w:hyperlink r:id="rId6" w:history="1">
        <w:r w:rsidR="000B720D" w:rsidRPr="00523806">
          <w:rPr>
            <w:rStyle w:val="Hyperlink"/>
            <w:b/>
          </w:rPr>
          <w:t>http://mrkay.weebly.com/writing-response-assessment-opposing-viewpoints-wsj.html</w:t>
        </w:r>
      </w:hyperlink>
    </w:p>
    <w:p w:rsidR="007D25C3" w:rsidRDefault="007D25C3" w:rsidP="007D25C3">
      <w:pPr>
        <w:spacing w:after="0" w:line="240" w:lineRule="auto"/>
        <w:rPr>
          <w:b/>
        </w:rPr>
      </w:pPr>
      <w:r w:rsidRPr="007D25C3">
        <w:rPr>
          <w:b/>
        </w:rPr>
        <w:t>for suggestions for starti</w:t>
      </w:r>
      <w:r w:rsidR="000B720D">
        <w:rPr>
          <w:b/>
        </w:rPr>
        <w:t xml:space="preserve">ng places for additional </w:t>
      </w:r>
      <w:r w:rsidRPr="007D25C3">
        <w:rPr>
          <w:b/>
        </w:rPr>
        <w:t>research on living wage issues.</w:t>
      </w:r>
    </w:p>
    <w:p w:rsidR="00F81EA3" w:rsidRDefault="00F81EA3" w:rsidP="007D25C3">
      <w:pPr>
        <w:spacing w:after="0" w:line="240" w:lineRule="auto"/>
        <w:rPr>
          <w:b/>
        </w:rPr>
      </w:pPr>
    </w:p>
    <w:p w:rsidR="00F81EA3" w:rsidRDefault="00F81EA3" w:rsidP="007D25C3">
      <w:pPr>
        <w:spacing w:after="0" w:line="240" w:lineRule="auto"/>
        <w:rPr>
          <w:b/>
        </w:rPr>
      </w:pPr>
      <w:r w:rsidRPr="00F81EA3">
        <w:rPr>
          <w:b/>
          <w:highlight w:val="yellow"/>
        </w:rPr>
        <w:t>When will we be doing this in-class assessment?</w:t>
      </w:r>
    </w:p>
    <w:p w:rsidR="00F81EA3" w:rsidRDefault="00F81EA3" w:rsidP="007D25C3">
      <w:pPr>
        <w:spacing w:after="0" w:line="240" w:lineRule="auto"/>
        <w:rPr>
          <w:b/>
        </w:rPr>
      </w:pPr>
      <w:r>
        <w:rPr>
          <w:b/>
        </w:rPr>
        <w:t>Monday, December 15</w:t>
      </w:r>
      <w:r w:rsidRPr="00F81EA3">
        <w:rPr>
          <w:b/>
          <w:vertAlign w:val="superscript"/>
        </w:rPr>
        <w:t>th</w:t>
      </w:r>
    </w:p>
    <w:p w:rsidR="00F81EA3" w:rsidRDefault="00F81EA3" w:rsidP="007D25C3">
      <w:pPr>
        <w:spacing w:after="0" w:line="240" w:lineRule="auto"/>
        <w:rPr>
          <w:b/>
        </w:rPr>
      </w:pPr>
    </w:p>
    <w:p w:rsidR="00F81EA3" w:rsidRDefault="00DE46B6" w:rsidP="007D25C3">
      <w:pPr>
        <w:spacing w:after="0" w:line="240" w:lineRule="auto"/>
        <w:rPr>
          <w:b/>
        </w:rPr>
      </w:pPr>
      <w:r w:rsidRPr="00DE46B6">
        <w:rPr>
          <w:b/>
          <w:highlight w:val="yellow"/>
        </w:rPr>
        <w:t>Creditable Resources</w:t>
      </w:r>
    </w:p>
    <w:p w:rsidR="00DE46B6" w:rsidRPr="00DE46B6" w:rsidRDefault="00DE46B6" w:rsidP="00DE46B6">
      <w:pPr>
        <w:spacing w:after="0" w:line="240" w:lineRule="auto"/>
        <w:rPr>
          <w:b/>
        </w:rPr>
      </w:pPr>
      <w:r>
        <w:rPr>
          <w:b/>
        </w:rPr>
        <w:t>Supporting an increase in the minimum wage to support a living wage</w:t>
      </w:r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P.O.V.’s Waging a Living Website</w:t>
      </w:r>
    </w:p>
    <w:p w:rsidR="00DE46B6" w:rsidRDefault="003E4820" w:rsidP="00DE46B6">
      <w:pPr>
        <w:spacing w:after="0" w:line="240" w:lineRule="auto"/>
        <w:rPr>
          <w:b/>
        </w:rPr>
      </w:pPr>
      <w:hyperlink r:id="rId7" w:history="1">
        <w:r w:rsidR="00DE46B6" w:rsidRPr="00052529">
          <w:rPr>
            <w:rStyle w:val="Hyperlink"/>
            <w:b/>
          </w:rPr>
          <w:t>www.pbs.org/pov/pov2006/wagingaliving/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On Henry Ford</w:t>
      </w:r>
      <w:r>
        <w:rPr>
          <w:b/>
        </w:rPr>
        <w:t>: His take on a Living Wage</w:t>
      </w:r>
    </w:p>
    <w:p w:rsidR="00DE46B6" w:rsidRDefault="003E4820" w:rsidP="00DE46B6">
      <w:pPr>
        <w:spacing w:after="0" w:line="240" w:lineRule="auto"/>
        <w:rPr>
          <w:b/>
        </w:rPr>
      </w:pPr>
      <w:hyperlink r:id="rId8" w:history="1">
        <w:r w:rsidR="00DE46B6" w:rsidRPr="00052529">
          <w:rPr>
            <w:rStyle w:val="Hyperlink"/>
            <w:b/>
          </w:rPr>
          <w:t>www.mackinac.org/depts/ecodevo/article.asp?ID=59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Economic Policy Institute: In Support of a Living Wage</w:t>
      </w:r>
    </w:p>
    <w:p w:rsidR="00DE46B6" w:rsidRDefault="003E4820" w:rsidP="00DE46B6">
      <w:pPr>
        <w:spacing w:after="0" w:line="240" w:lineRule="auto"/>
        <w:rPr>
          <w:b/>
        </w:rPr>
      </w:pPr>
      <w:hyperlink r:id="rId9" w:history="1">
        <w:r w:rsidR="00DE46B6" w:rsidRPr="00052529">
          <w:rPr>
            <w:rStyle w:val="Hyperlink"/>
            <w:b/>
          </w:rPr>
          <w:t>www.epinet.org/content.cfm/issueguides_livingwage_livingwage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United for a Fair Economy’s Responsible Wealth Project</w:t>
      </w:r>
    </w:p>
    <w:p w:rsidR="00DE46B6" w:rsidRDefault="003E4820" w:rsidP="00DE46B6">
      <w:pPr>
        <w:spacing w:after="0" w:line="240" w:lineRule="auto"/>
        <w:rPr>
          <w:b/>
        </w:rPr>
      </w:pPr>
      <w:hyperlink r:id="rId10" w:history="1">
        <w:r w:rsidR="00DE46B6" w:rsidRPr="00052529">
          <w:rPr>
            <w:rStyle w:val="Hyperlink"/>
            <w:b/>
          </w:rPr>
          <w:t>www.responsiblewealth.org/living_wage/index.html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</w:p>
    <w:p w:rsidR="00DE46B6" w:rsidRPr="00DE46B6" w:rsidRDefault="00DE46B6" w:rsidP="00DE46B6">
      <w:pPr>
        <w:spacing w:after="0" w:line="240" w:lineRule="auto"/>
        <w:rPr>
          <w:b/>
        </w:rPr>
      </w:pPr>
      <w:r>
        <w:rPr>
          <w:b/>
        </w:rPr>
        <w:t xml:space="preserve">Oppose an increase in the minimum wage </w:t>
      </w:r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Search on “living wage”</w:t>
      </w:r>
      <w:r>
        <w:rPr>
          <w:b/>
        </w:rPr>
        <w:t xml:space="preserve"> or “minimum wage”</w:t>
      </w:r>
      <w:r w:rsidRPr="00DE46B6">
        <w:rPr>
          <w:b/>
        </w:rPr>
        <w:t xml:space="preserve"> at the following think tank website</w:t>
      </w:r>
      <w:r>
        <w:rPr>
          <w:b/>
        </w:rPr>
        <w:t xml:space="preserve">s to find articles and position </w:t>
      </w:r>
      <w:r w:rsidRPr="00DE46B6">
        <w:rPr>
          <w:b/>
        </w:rPr>
        <w:t>papers opposing the adoption of a living wage:</w:t>
      </w:r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Cato Institute</w:t>
      </w:r>
    </w:p>
    <w:p w:rsidR="00DE46B6" w:rsidRDefault="003E4820" w:rsidP="00DE46B6">
      <w:pPr>
        <w:spacing w:after="0" w:line="240" w:lineRule="auto"/>
        <w:rPr>
          <w:b/>
        </w:rPr>
      </w:pPr>
      <w:hyperlink r:id="rId11" w:history="1">
        <w:r w:rsidR="00DE46B6" w:rsidRPr="00052529">
          <w:rPr>
            <w:rStyle w:val="Hyperlink"/>
            <w:b/>
          </w:rPr>
          <w:t>www.cato.org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Manhattan Institute</w:t>
      </w:r>
    </w:p>
    <w:p w:rsidR="00DE46B6" w:rsidRDefault="003E4820" w:rsidP="00DE46B6">
      <w:pPr>
        <w:spacing w:after="0" w:line="240" w:lineRule="auto"/>
        <w:rPr>
          <w:b/>
        </w:rPr>
      </w:pPr>
      <w:hyperlink r:id="rId12" w:history="1">
        <w:r w:rsidR="00DE46B6" w:rsidRPr="00052529">
          <w:rPr>
            <w:rStyle w:val="Hyperlink"/>
            <w:b/>
          </w:rPr>
          <w:t>www.manhattan-institute.org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Hudson Institute</w:t>
      </w:r>
    </w:p>
    <w:p w:rsidR="00DE46B6" w:rsidRDefault="003E4820" w:rsidP="00DE46B6">
      <w:pPr>
        <w:spacing w:after="0" w:line="240" w:lineRule="auto"/>
        <w:rPr>
          <w:b/>
        </w:rPr>
      </w:pPr>
      <w:hyperlink r:id="rId13" w:history="1">
        <w:r w:rsidR="00DD0A22" w:rsidRPr="00052529">
          <w:rPr>
            <w:rStyle w:val="Hyperlink"/>
            <w:b/>
          </w:rPr>
          <w:t>www.hudson.org</w:t>
        </w:r>
      </w:hyperlink>
    </w:p>
    <w:p w:rsidR="00DE46B6" w:rsidRPr="00DE46B6" w:rsidRDefault="00DE46B6" w:rsidP="00DE46B6">
      <w:pPr>
        <w:spacing w:after="0" w:line="240" w:lineRule="auto"/>
        <w:rPr>
          <w:b/>
        </w:rPr>
      </w:pPr>
      <w:r w:rsidRPr="00DE46B6">
        <w:rPr>
          <w:b/>
        </w:rPr>
        <w:t>The Living Wage Campaign by Herbert I. London (1999)</w:t>
      </w:r>
    </w:p>
    <w:p w:rsidR="00DE46B6" w:rsidRDefault="003E4820" w:rsidP="00DE46B6">
      <w:pPr>
        <w:spacing w:after="0" w:line="240" w:lineRule="auto"/>
        <w:rPr>
          <w:b/>
        </w:rPr>
      </w:pPr>
      <w:hyperlink r:id="rId14" w:history="1">
        <w:r w:rsidR="00DD0A22" w:rsidRPr="00052529">
          <w:rPr>
            <w:rStyle w:val="Hyperlink"/>
            <w:b/>
          </w:rPr>
          <w:t>www.hudson.org/index.cfm?fuseaction=publication_details&amp;id=412</w:t>
        </w:r>
      </w:hyperlink>
    </w:p>
    <w:p w:rsidR="00DE46B6" w:rsidRPr="001F71AB" w:rsidRDefault="00DE46B6" w:rsidP="00DE46B6">
      <w:pPr>
        <w:spacing w:after="0" w:line="240" w:lineRule="auto"/>
        <w:rPr>
          <w:b/>
        </w:rPr>
      </w:pPr>
    </w:p>
    <w:sectPr w:rsidR="00DE46B6" w:rsidRPr="001F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AB"/>
    <w:rsid w:val="000B720D"/>
    <w:rsid w:val="001F71AB"/>
    <w:rsid w:val="003E4820"/>
    <w:rsid w:val="007D25C3"/>
    <w:rsid w:val="00B336BE"/>
    <w:rsid w:val="00DD0A22"/>
    <w:rsid w:val="00DE46B6"/>
    <w:rsid w:val="00DF42D2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inac.org/depts/ecodevo/article.asp?ID=59" TargetMode="External"/><Relationship Id="rId13" Type="http://schemas.openxmlformats.org/officeDocument/2006/relationships/hyperlink" Target="http://www.hud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pov/pov2006/wagingaliving/" TargetMode="External"/><Relationship Id="rId12" Type="http://schemas.openxmlformats.org/officeDocument/2006/relationships/hyperlink" Target="http://www.manhattan-institute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rkay.weebly.com/writing-response-assessment-opposing-viewpoints-wsj.html" TargetMode="External"/><Relationship Id="rId11" Type="http://schemas.openxmlformats.org/officeDocument/2006/relationships/hyperlink" Target="http://www.cato.org" TargetMode="External"/><Relationship Id="rId5" Type="http://schemas.openxmlformats.org/officeDocument/2006/relationships/hyperlink" Target="http://mrkay.weebly.com/wsj-opposing-viewpoint-act-respons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ponsiblewealth.org/living_wag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net.org/content.cfm/issueguides_livingwage_livingwage" TargetMode="External"/><Relationship Id="rId14" Type="http://schemas.openxmlformats.org/officeDocument/2006/relationships/hyperlink" Target="http://www.hudson.org/index.cfm?fuseaction=publication_details&amp;id=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2</cp:revision>
  <cp:lastPrinted>2014-12-07T17:05:00Z</cp:lastPrinted>
  <dcterms:created xsi:type="dcterms:W3CDTF">2014-12-08T14:09:00Z</dcterms:created>
  <dcterms:modified xsi:type="dcterms:W3CDTF">2014-12-08T14:09:00Z</dcterms:modified>
</cp:coreProperties>
</file>