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90" w:rsidRDefault="000C4524">
      <w:pPr>
        <w:jc w:val="center"/>
        <w:rPr>
          <w:b/>
          <w:bCs/>
          <w:color w:val="FF3300"/>
          <w:sz w:val="32"/>
          <w:szCs w:val="32"/>
        </w:rPr>
      </w:pPr>
      <w:r>
        <w:rPr>
          <w:b/>
          <w:bCs/>
          <w:color w:val="FF3300"/>
          <w:sz w:val="32"/>
          <w:szCs w:val="32"/>
        </w:rPr>
        <w:t>Big 3 Warm Up for December 16th</w:t>
      </w:r>
    </w:p>
    <w:p w:rsidR="00404E90" w:rsidRDefault="00404E90">
      <w:pPr>
        <w:jc w:val="center"/>
        <w:rPr>
          <w:b/>
          <w:bCs/>
          <w:color w:val="FF3300"/>
          <w:sz w:val="32"/>
          <w:szCs w:val="32"/>
        </w:rPr>
      </w:pPr>
    </w:p>
    <w:p w:rsidR="00404E90" w:rsidRDefault="00404E90">
      <w:pPr>
        <w:jc w:val="center"/>
        <w:rPr>
          <w:b/>
          <w:bCs/>
          <w:color w:val="FF3300"/>
          <w:sz w:val="20"/>
          <w:szCs w:val="20"/>
        </w:rPr>
      </w:pPr>
    </w:p>
    <w:p w:rsidR="00404E90" w:rsidRDefault="008A7C98">
      <w:pPr>
        <w:pStyle w:val="Heading2"/>
        <w:rPr>
          <w:sz w:val="28"/>
        </w:rPr>
      </w:pPr>
      <w:r>
        <w:rPr>
          <w:sz w:val="28"/>
        </w:rPr>
        <w:t>Word of the Day:</w:t>
      </w:r>
    </w:p>
    <w:p w:rsidR="00404E90" w:rsidRPr="00962D6F" w:rsidRDefault="008A7C98" w:rsidP="00962D6F">
      <w:pPr>
        <w:pStyle w:val="Heading2"/>
        <w:rPr>
          <w:rFonts w:ascii="Arial Unicode MS" w:eastAsia="Arial Unicode MS" w:hAnsi="Arial Unicode MS" w:cs="Arial Unicode MS"/>
          <w:sz w:val="28"/>
        </w:rPr>
      </w:pPr>
      <w:r>
        <w:rPr>
          <w:sz w:val="28"/>
        </w:rPr>
        <w:t xml:space="preserve"> </w:t>
      </w:r>
      <w:r>
        <w:rPr>
          <w:rFonts w:ascii="Arial" w:hAnsi="Arial" w:cs="Arial"/>
          <w:b w:val="0"/>
          <w:bCs w:val="0"/>
          <w:sz w:val="20"/>
          <w:szCs w:val="20"/>
          <w:shd w:val="clear" w:color="auto" w:fill="FFFFFF"/>
        </w:rPr>
        <w:t>Collateral</w:t>
      </w:r>
      <w:r>
        <w:rPr>
          <w:rStyle w:val="apple-converted-space"/>
          <w:rFonts w:ascii="Arial" w:hAnsi="Arial" w:cs="Arial"/>
          <w:b w:val="0"/>
          <w:bCs w:val="0"/>
          <w:sz w:val="20"/>
          <w:szCs w:val="20"/>
          <w:shd w:val="clear" w:color="auto" w:fill="FFFFFF"/>
        </w:rPr>
        <w:t> </w:t>
      </w:r>
      <w:r>
        <w:rPr>
          <w:rFonts w:ascii="Arial" w:hAnsi="Arial" w:cs="Arial"/>
          <w:b w:val="0"/>
          <w:bCs w:val="0"/>
          <w:sz w:val="20"/>
          <w:szCs w:val="20"/>
          <w:shd w:val="clear" w:color="auto" w:fill="FFFFFF"/>
        </w:rPr>
        <w:t>(noun)</w:t>
      </w:r>
    </w:p>
    <w:p w:rsidR="00404E90" w:rsidRDefault="008A7C98">
      <w:pPr>
        <w:rPr>
          <w:sz w:val="28"/>
          <w:szCs w:val="28"/>
        </w:rPr>
      </w:pPr>
      <w:r>
        <w:rPr>
          <w:sz w:val="28"/>
          <w:szCs w:val="28"/>
        </w:rPr>
        <w:t xml:space="preserve">Definition(s): </w:t>
      </w:r>
    </w:p>
    <w:p w:rsidR="00404E90" w:rsidRDefault="008A7C98">
      <w:pPr>
        <w:rPr>
          <w:sz w:val="28"/>
          <w:szCs w:val="28"/>
        </w:rPr>
      </w:pPr>
      <w:r>
        <w:rPr>
          <w:rFonts w:ascii="Arial" w:hAnsi="Arial" w:cs="Arial"/>
          <w:color w:val="000000"/>
          <w:sz w:val="20"/>
          <w:szCs w:val="20"/>
          <w:shd w:val="clear" w:color="auto" w:fill="FFFFFF"/>
        </w:rPr>
        <w:t>Money or resources offered in exchange for a loan.</w:t>
      </w:r>
    </w:p>
    <w:p w:rsidR="00404E90" w:rsidRDefault="008A7C98">
      <w:pPr>
        <w:rPr>
          <w:sz w:val="28"/>
          <w:szCs w:val="28"/>
        </w:rPr>
      </w:pPr>
      <w:r>
        <w:rPr>
          <w:rFonts w:ascii="Arial" w:hAnsi="Arial" w:cs="Arial"/>
          <w:color w:val="000000"/>
          <w:kern w:val="0"/>
          <w:sz w:val="18"/>
          <w:szCs w:val="18"/>
          <w:shd w:val="clear" w:color="auto" w:fill="FFFFFF"/>
        </w:rPr>
        <w:br/>
      </w:r>
      <w:r>
        <w:rPr>
          <w:sz w:val="28"/>
          <w:szCs w:val="28"/>
        </w:rPr>
        <w:t xml:space="preserve">Example Sentence: </w:t>
      </w:r>
    </w:p>
    <w:p w:rsidR="00404E90" w:rsidRPr="00962D6F" w:rsidRDefault="008A7C98">
      <w:pPr>
        <w:rPr>
          <w:rFonts w:ascii="Lucida Sans Unicode" w:hAnsi="Lucida Sans Unicode" w:cs="Lucida Sans Unicode"/>
          <w:color w:val="333333"/>
          <w:sz w:val="21"/>
          <w:szCs w:val="21"/>
        </w:rPr>
      </w:pPr>
      <w:r>
        <w:rPr>
          <w:rFonts w:ascii="Arial" w:hAnsi="Arial" w:cs="Arial"/>
          <w:color w:val="000000"/>
          <w:sz w:val="20"/>
          <w:szCs w:val="20"/>
          <w:shd w:val="clear" w:color="auto" w:fill="FFFFFF"/>
        </w:rPr>
        <w:t>At the bank, the farmer put forth his herd of cows as</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u w:val="single"/>
          <w:shd w:val="clear" w:color="auto" w:fill="FFFFFF"/>
        </w:rPr>
        <w:t>collateral</w:t>
      </w:r>
      <w:r>
        <w:rPr>
          <w:rStyle w:val="apple-converted-space"/>
          <w:rFonts w:ascii="Arial" w:hAnsi="Arial" w:cs="Arial"/>
          <w:color w:val="000000"/>
          <w:sz w:val="20"/>
          <w:szCs w:val="20"/>
          <w:u w:val="single"/>
          <w:shd w:val="clear" w:color="auto" w:fill="FFFFFF"/>
        </w:rPr>
        <w:t> </w:t>
      </w:r>
      <w:r>
        <w:rPr>
          <w:rFonts w:ascii="Arial" w:hAnsi="Arial" w:cs="Arial"/>
          <w:color w:val="000000"/>
          <w:sz w:val="20"/>
          <w:szCs w:val="20"/>
          <w:shd w:val="clear" w:color="auto" w:fill="FFFFFF"/>
        </w:rPr>
        <w:t>for a loan that would enable him to update his barn.</w:t>
      </w:r>
      <w:r>
        <w:rPr>
          <w:rFonts w:ascii="Arial" w:hAnsi="Arial" w:cs="Arial"/>
          <w:color w:val="000000"/>
          <w:szCs w:val="18"/>
        </w:rPr>
        <w:br/>
        <w:t xml:space="preserve"> </w:t>
      </w:r>
    </w:p>
    <w:p w:rsidR="00404E90" w:rsidRDefault="008A7C98">
      <w:pPr>
        <w:rPr>
          <w:rFonts w:ascii="Arial" w:hAnsi="Arial" w:cs="Arial"/>
          <w:sz w:val="22"/>
          <w:szCs w:val="22"/>
        </w:rPr>
      </w:pPr>
      <w:r>
        <w:rPr>
          <w:rFonts w:ascii="Arial" w:hAnsi="Arial" w:cs="Arial"/>
          <w:sz w:val="22"/>
          <w:szCs w:val="22"/>
        </w:rPr>
        <w:t xml:space="preserve">Use the word of the day in a sentence and </w:t>
      </w:r>
      <w:r>
        <w:rPr>
          <w:rFonts w:ascii="Arial" w:hAnsi="Arial" w:cs="Arial"/>
          <w:sz w:val="22"/>
          <w:szCs w:val="22"/>
          <w:u w:val="single"/>
        </w:rPr>
        <w:t>underline</w:t>
      </w:r>
      <w:r>
        <w:rPr>
          <w:rFonts w:ascii="Arial" w:hAnsi="Arial" w:cs="Arial"/>
          <w:sz w:val="22"/>
          <w:szCs w:val="22"/>
        </w:rPr>
        <w:t xml:space="preserve"> the word.</w:t>
      </w:r>
    </w:p>
    <w:p w:rsidR="00404E90" w:rsidRDefault="00404E90">
      <w:pPr>
        <w:rPr>
          <w:b/>
          <w:bCs/>
          <w:sz w:val="32"/>
          <w:szCs w:val="32"/>
        </w:rPr>
      </w:pPr>
      <w:bookmarkStart w:id="0" w:name="_GoBack"/>
      <w:bookmarkEnd w:id="0"/>
    </w:p>
    <w:p w:rsidR="00404E90" w:rsidRDefault="008A7C98">
      <w:pPr>
        <w:rPr>
          <w:b/>
          <w:bCs/>
          <w:color w:val="FF3300"/>
          <w:sz w:val="28"/>
          <w:szCs w:val="28"/>
          <w:u w:val="single"/>
        </w:rPr>
      </w:pPr>
      <w:r>
        <w:rPr>
          <w:b/>
          <w:bCs/>
          <w:color w:val="FF3300"/>
          <w:sz w:val="28"/>
          <w:szCs w:val="28"/>
          <w:u w:val="single"/>
        </w:rPr>
        <w:t>Government Trivia:</w:t>
      </w:r>
    </w:p>
    <w:p w:rsidR="00404E90" w:rsidRDefault="008A7C98">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The Supreme Court’s decision in Texas v. Johnson, which overturned a state law against flag burning, was based on</w:t>
      </w:r>
    </w:p>
    <w:p w:rsidR="00404E90" w:rsidRDefault="008A7C98">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A. the First Amendment right to peacefully assemble to protest</w:t>
      </w:r>
    </w:p>
    <w:p w:rsidR="00404E90" w:rsidRDefault="008A7C98">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B. The Free-Exercise Clause of the First Amendment</w:t>
      </w:r>
    </w:p>
    <w:p w:rsidR="00404E90" w:rsidRDefault="008A7C98">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C. the First Amendment right of freedom of speech</w:t>
      </w:r>
    </w:p>
    <w:p w:rsidR="00404E90" w:rsidRDefault="008A7C98">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D. the restrictions on search and seizure of the Fourth Amendment</w:t>
      </w:r>
    </w:p>
    <w:p w:rsidR="00404E90" w:rsidRDefault="008A7C98">
      <w:pPr>
        <w:pStyle w:val="NormalWeb"/>
        <w:shd w:val="clear" w:color="auto" w:fill="FFFFFF"/>
        <w:spacing w:before="15" w:beforeAutospacing="0" w:after="180" w:afterAutospacing="0" w:line="252" w:lineRule="atLeast"/>
        <w:rPr>
          <w:rFonts w:ascii="Verdana" w:hAnsi="Verdana"/>
          <w:color w:val="666666"/>
          <w:sz w:val="18"/>
          <w:szCs w:val="18"/>
        </w:rPr>
      </w:pPr>
      <w:r>
        <w:rPr>
          <w:rFonts w:ascii="Verdana" w:hAnsi="Verdana"/>
          <w:color w:val="666666"/>
          <w:sz w:val="18"/>
          <w:szCs w:val="18"/>
        </w:rPr>
        <w:t>E. the establishment clause of the First Amendment</w:t>
      </w:r>
    </w:p>
    <w:p w:rsidR="00404E90" w:rsidRDefault="008A7C98">
      <w:pPr>
        <w:pStyle w:val="NormalWeb"/>
        <w:shd w:val="clear" w:color="auto" w:fill="FFFFFF"/>
        <w:spacing w:before="15" w:beforeAutospacing="0" w:after="180" w:afterAutospacing="0" w:line="252" w:lineRule="atLeast"/>
        <w:rPr>
          <w:rFonts w:ascii="Verdana" w:hAnsi="Verdana"/>
          <w:color w:val="666666"/>
          <w:sz w:val="18"/>
          <w:szCs w:val="18"/>
        </w:rPr>
      </w:pPr>
      <w:r>
        <w:rPr>
          <w:b/>
          <w:bCs/>
          <w:color w:val="FF3300"/>
          <w:sz w:val="28"/>
          <w:szCs w:val="28"/>
          <w:u w:val="single"/>
        </w:rPr>
        <w:t>World History Trivia</w:t>
      </w:r>
    </w:p>
    <w:p w:rsidR="00404E90" w:rsidRDefault="008A7C98">
      <w:pPr>
        <w:shd w:val="clear" w:color="auto" w:fill="FFFFFF"/>
        <w:spacing w:before="100" w:beforeAutospacing="1" w:after="100" w:afterAutospacing="1" w:line="252" w:lineRule="atLeast"/>
        <w:rPr>
          <w:rFonts w:ascii="Verdana" w:hAnsi="Verdana" w:cs="Arial"/>
          <w:color w:val="666666"/>
          <w:sz w:val="18"/>
          <w:szCs w:val="18"/>
        </w:rPr>
      </w:pPr>
      <w:r>
        <w:rPr>
          <w:color w:val="666666"/>
          <w:sz w:val="20"/>
          <w:szCs w:val="18"/>
        </w:rPr>
        <w:t>The Columbian Exchange involved which of the following new connections in the era 1450–1750?</w:t>
      </w:r>
    </w:p>
    <w:p w:rsidR="00404E90" w:rsidRDefault="008A7C98">
      <w:pPr>
        <w:shd w:val="clear" w:color="auto" w:fill="FFFFFF"/>
        <w:spacing w:before="100" w:beforeAutospacing="1" w:after="100" w:afterAutospacing="1" w:line="252" w:lineRule="atLeast"/>
        <w:rPr>
          <w:color w:val="666666"/>
          <w:sz w:val="16"/>
          <w:szCs w:val="18"/>
        </w:rPr>
      </w:pPr>
      <w:r>
        <w:rPr>
          <w:color w:val="666666"/>
          <w:sz w:val="16"/>
          <w:szCs w:val="18"/>
        </w:rPr>
        <w:t>(A) European food to the Western Hemisphere; Western Hemisphere diseases to Europe; African population to Europe</w:t>
      </w:r>
    </w:p>
    <w:p w:rsidR="00404E90" w:rsidRDefault="008A7C98">
      <w:pPr>
        <w:shd w:val="clear" w:color="auto" w:fill="FFFFFF"/>
        <w:spacing w:before="100" w:beforeAutospacing="1" w:after="100" w:afterAutospacing="1" w:line="252" w:lineRule="atLeast"/>
        <w:rPr>
          <w:color w:val="666666"/>
          <w:sz w:val="16"/>
          <w:szCs w:val="18"/>
        </w:rPr>
      </w:pPr>
      <w:r>
        <w:rPr>
          <w:color w:val="666666"/>
          <w:sz w:val="16"/>
          <w:szCs w:val="18"/>
        </w:rPr>
        <w:t>(B) Western Hemisphere technology to Africa; African food to Europe; European population to the Western Hemisphere</w:t>
      </w:r>
    </w:p>
    <w:p w:rsidR="00404E90" w:rsidRDefault="008A7C98">
      <w:pPr>
        <w:shd w:val="clear" w:color="auto" w:fill="FFFFFF"/>
        <w:spacing w:before="100" w:beforeAutospacing="1" w:after="100" w:afterAutospacing="1" w:line="252" w:lineRule="atLeast"/>
        <w:rPr>
          <w:rFonts w:ascii="Verdana" w:hAnsi="Verdana" w:cs="Arial"/>
          <w:color w:val="666666"/>
          <w:sz w:val="18"/>
          <w:szCs w:val="18"/>
        </w:rPr>
      </w:pPr>
      <w:r>
        <w:rPr>
          <w:color w:val="666666"/>
          <w:sz w:val="16"/>
          <w:szCs w:val="18"/>
        </w:rPr>
        <w:t>(C) European technology to Africa; Western Hemisphere population to Africa; African food to the Western Hemisphere</w:t>
      </w:r>
    </w:p>
    <w:p w:rsidR="00404E90" w:rsidRDefault="008A7C98">
      <w:pPr>
        <w:shd w:val="clear" w:color="auto" w:fill="FFFFFF"/>
        <w:spacing w:before="100" w:beforeAutospacing="1" w:after="100" w:afterAutospacing="1" w:line="252" w:lineRule="atLeast"/>
        <w:rPr>
          <w:rFonts w:ascii="Verdana" w:hAnsi="Verdana" w:cs="Arial"/>
          <w:color w:val="666666"/>
          <w:sz w:val="18"/>
          <w:szCs w:val="18"/>
        </w:rPr>
      </w:pPr>
      <w:r>
        <w:rPr>
          <w:color w:val="666666"/>
          <w:sz w:val="16"/>
          <w:szCs w:val="18"/>
        </w:rPr>
        <w:t>(D) African population to the Western Hemisphere; Western Hemisphere food to Europe and Africa; African and European diseases to the Western Hemisphere</w:t>
      </w:r>
    </w:p>
    <w:p w:rsidR="00404E90" w:rsidRDefault="00404E90">
      <w:pPr>
        <w:pStyle w:val="Heading3"/>
        <w:shd w:val="clear" w:color="auto" w:fill="FFFFFF"/>
        <w:spacing w:before="0" w:beforeAutospacing="0" w:after="0" w:afterAutospacing="0" w:line="345" w:lineRule="atLeast"/>
        <w:rPr>
          <w:rFonts w:ascii="Georgia" w:hAnsi="Georgia"/>
          <w:b w:val="0"/>
          <w:bCs w:val="0"/>
          <w:color w:val="666666"/>
          <w:sz w:val="21"/>
          <w:szCs w:val="21"/>
        </w:rPr>
      </w:pPr>
    </w:p>
    <w:p w:rsidR="00404E90" w:rsidRDefault="00404E90">
      <w:pPr>
        <w:rPr>
          <w:rFonts w:ascii="Arial" w:eastAsia="Arial Unicode MS" w:hAnsi="Arial" w:cs="Arial"/>
          <w:bCs/>
        </w:rPr>
      </w:pPr>
    </w:p>
    <w:p w:rsidR="00404E90" w:rsidRDefault="00404E90">
      <w:pPr>
        <w:rPr>
          <w:rFonts w:ascii="Arial" w:eastAsia="Arial Unicode MS" w:hAnsi="Arial" w:cs="Arial"/>
          <w:bCs/>
        </w:rPr>
      </w:pPr>
    </w:p>
    <w:p w:rsidR="00404E90" w:rsidRDefault="008A7C98">
      <w:pPr>
        <w:rPr>
          <w:b/>
          <w:bCs/>
          <w:color w:val="FF3300"/>
          <w:sz w:val="28"/>
          <w:szCs w:val="28"/>
          <w:u w:val="single"/>
        </w:rPr>
      </w:pPr>
      <w:r>
        <w:rPr>
          <w:b/>
          <w:bCs/>
          <w:color w:val="FF3300"/>
          <w:sz w:val="28"/>
          <w:szCs w:val="28"/>
          <w:u w:val="single"/>
        </w:rPr>
        <w:t>Picture Response:</w:t>
      </w:r>
    </w:p>
    <w:p w:rsidR="00404E90" w:rsidRDefault="00404E90">
      <w:pPr>
        <w:rPr>
          <w:b/>
          <w:bCs/>
          <w:color w:val="FF3300"/>
          <w:sz w:val="28"/>
          <w:szCs w:val="28"/>
          <w:u w:val="single"/>
        </w:rPr>
      </w:pPr>
    </w:p>
    <w:p w:rsidR="00404E90" w:rsidRDefault="00404E90"/>
    <w:p w:rsidR="00404E90" w:rsidRDefault="008A7C98">
      <w:r>
        <w:lastRenderedPageBreak/>
        <w:fldChar w:fldCharType="begin"/>
      </w:r>
      <w:r>
        <w:instrText xml:space="preserve"> INCLUDEPICTURE "http://www.pbs.org/wnet/supremecourt/personality/images/korematsu.jpg" \* MERGEFORMATINET </w:instrText>
      </w:r>
      <w:r>
        <w:fldChar w:fldCharType="separate"/>
      </w:r>
      <w:r w:rsidR="005B0186">
        <w:fldChar w:fldCharType="begin"/>
      </w:r>
      <w:r w:rsidR="005B0186">
        <w:instrText xml:space="preserve"> INCLUDEPICTURE  "http://www.pbs.org/wnet/supremecourt/personality/images/korematsu.jpg" \* MERGEFORMATINET </w:instrText>
      </w:r>
      <w:r w:rsidR="005B0186">
        <w:fldChar w:fldCharType="separate"/>
      </w:r>
      <w:r w:rsidR="00B6564B">
        <w:fldChar w:fldCharType="begin"/>
      </w:r>
      <w:r w:rsidR="00B6564B">
        <w:instrText xml:space="preserve"> </w:instrText>
      </w:r>
      <w:r w:rsidR="00B6564B">
        <w:instrText>INCLUDEPICTURE  "http://www.pbs.org/wnet/supremecourt/personality/images/korematsu.jpg" \* MERGEFORMATINET</w:instrText>
      </w:r>
      <w:r w:rsidR="00B6564B">
        <w:instrText xml:space="preserve"> </w:instrText>
      </w:r>
      <w:r w:rsidR="00B6564B">
        <w:fldChar w:fldCharType="separate"/>
      </w:r>
      <w:r w:rsidR="000C4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hoto of Japanese Americans at a government-run internment camp during World War II." style="width:436.75pt;height:521pt">
            <v:imagedata r:id="rId7" r:href="rId8"/>
          </v:shape>
        </w:pict>
      </w:r>
      <w:r w:rsidR="00B6564B">
        <w:fldChar w:fldCharType="end"/>
      </w:r>
      <w:r w:rsidR="005B0186">
        <w:fldChar w:fldCharType="end"/>
      </w:r>
      <w:r>
        <w:fldChar w:fldCharType="end"/>
      </w:r>
    </w:p>
    <w:p w:rsidR="00404E90" w:rsidRDefault="00404E90"/>
    <w:p w:rsidR="00404E90" w:rsidRDefault="00404E90"/>
    <w:p w:rsidR="00404E90" w:rsidRDefault="008A7C98">
      <w:pPr>
        <w:rPr>
          <w:b/>
          <w:bCs/>
          <w:sz w:val="32"/>
          <w:szCs w:val="32"/>
        </w:rPr>
      </w:pPr>
      <w:r>
        <w:rPr>
          <w:b/>
          <w:bCs/>
          <w:sz w:val="32"/>
          <w:szCs w:val="32"/>
        </w:rPr>
        <w:t xml:space="preserve">Write a two to three sentence interpretation of this painting </w:t>
      </w:r>
    </w:p>
    <w:p w:rsidR="00404E90" w:rsidRDefault="00404E90">
      <w:pPr>
        <w:pStyle w:val="NormalWeb"/>
        <w:rPr>
          <w:b/>
          <w:bCs/>
          <w:sz w:val="32"/>
          <w:szCs w:val="32"/>
        </w:rPr>
      </w:pPr>
    </w:p>
    <w:p w:rsidR="00404E90" w:rsidRDefault="008A7C98">
      <w:pPr>
        <w:pStyle w:val="NormalWeb"/>
        <w:rPr>
          <w:b/>
          <w:bCs/>
          <w:sz w:val="32"/>
          <w:szCs w:val="32"/>
        </w:rPr>
      </w:pPr>
      <w:r>
        <w:rPr>
          <w:b/>
          <w:bCs/>
          <w:sz w:val="32"/>
          <w:szCs w:val="32"/>
        </w:rPr>
        <w:t xml:space="preserve">Quote of the Week: </w:t>
      </w:r>
    </w:p>
    <w:p w:rsidR="00404E90" w:rsidRDefault="008A7C98">
      <w:pPr>
        <w:pStyle w:val="NormalWeb"/>
      </w:pPr>
      <w:r>
        <w:lastRenderedPageBreak/>
        <w:t>“In face of adversity, it is the will and desire to overcome obstacle</w:t>
      </w:r>
      <w:r w:rsidR="00FA1B76">
        <w:t>s which determines the outcome.</w:t>
      </w:r>
      <w:r>
        <w:t>”</w:t>
      </w:r>
    </w:p>
    <w:p w:rsidR="00404E90" w:rsidRDefault="008A7C98">
      <w:pPr>
        <w:pStyle w:val="NormalWeb"/>
      </w:pPr>
      <w:r>
        <w:t>- Mr. Kay</w:t>
      </w:r>
    </w:p>
    <w:p w:rsidR="00404E90" w:rsidRDefault="008A7C98">
      <w:pPr>
        <w:widowControl/>
        <w:shd w:val="clear" w:color="auto" w:fill="FFFFFF"/>
        <w:overflowPunct/>
        <w:adjustRightInd/>
        <w:rPr>
          <w:rFonts w:ascii="Tahoma" w:hAnsi="Tahoma" w:cs="Tahoma"/>
          <w:color w:val="000000"/>
          <w:kern w:val="0"/>
          <w:sz w:val="17"/>
          <w:szCs w:val="17"/>
        </w:rPr>
      </w:pPr>
      <w:r>
        <w:rPr>
          <w:rFonts w:ascii="Tahoma" w:hAnsi="Tahoma" w:cs="Tahoma"/>
          <w:color w:val="000000"/>
          <w:kern w:val="0"/>
          <w:sz w:val="17"/>
          <w:szCs w:val="17"/>
        </w:rPr>
        <w:t xml:space="preserve">                                                                                                                           </w:t>
      </w: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8A7C98">
      <w:pPr>
        <w:rPr>
          <w:b/>
          <w:bCs/>
        </w:rPr>
      </w:pPr>
      <w:r>
        <w:rPr>
          <w:rFonts w:ascii="Verdana" w:hAnsi="Verdana"/>
          <w:b/>
          <w:bCs/>
          <w:color w:val="838175"/>
          <w:sz w:val="27"/>
          <w:szCs w:val="27"/>
          <w:shd w:val="clear" w:color="auto" w:fill="FFFFFF"/>
        </w:rPr>
        <w:t>Korematsu v. United States (1944)</w:t>
      </w:r>
      <w:r>
        <w:rPr>
          <w:rFonts w:ascii="Verdana" w:hAnsi="Verdana"/>
          <w:color w:val="333333"/>
          <w:sz w:val="18"/>
          <w:szCs w:val="18"/>
        </w:rPr>
        <w:br/>
      </w:r>
      <w:r>
        <w:fldChar w:fldCharType="begin"/>
      </w:r>
      <w:r>
        <w:instrText xml:space="preserve"> INCLUDEPICTURE "http://www.pbs.org/wnet/supremecourt/personality/images/dotted_line.gif" \* MERGEFORMATINET </w:instrText>
      </w:r>
      <w:r>
        <w:fldChar w:fldCharType="separate"/>
      </w:r>
      <w:r w:rsidR="005B0186">
        <w:fldChar w:fldCharType="begin"/>
      </w:r>
      <w:r w:rsidR="005B0186">
        <w:instrText xml:space="preserve"> INCLUDEPICTURE  "http://www.pbs.org/wnet/supremecourt/personality/images/dotted_line.gif" \* MERGEFORMATINET </w:instrText>
      </w:r>
      <w:r w:rsidR="005B0186">
        <w:fldChar w:fldCharType="separate"/>
      </w:r>
      <w:r w:rsidR="00B6564B">
        <w:fldChar w:fldCharType="begin"/>
      </w:r>
      <w:r w:rsidR="00B6564B">
        <w:instrText xml:space="preserve"> </w:instrText>
      </w:r>
      <w:r w:rsidR="00B6564B">
        <w:instrText>INCLUDEPICTURE  "http://www.pbs.org/</w:instrText>
      </w:r>
      <w:r w:rsidR="00B6564B">
        <w:instrText>wnet/supremecourt/personality/images/dotted_line.gif" \* MERGEFORMATINET</w:instrText>
      </w:r>
      <w:r w:rsidR="00B6564B">
        <w:instrText xml:space="preserve"> </w:instrText>
      </w:r>
      <w:r w:rsidR="00B6564B">
        <w:fldChar w:fldCharType="separate"/>
      </w:r>
      <w:r w:rsidR="00B6564B">
        <w:pict>
          <v:shape id="_x0000_i1026" type="#_x0000_t75" alt="" style="width:235pt;height:1.35pt;mso-wrap-distance-top:7.5pt;mso-wrap-distance-bottom:7.5pt">
            <v:imagedata r:id="rId9" r:href="rId10"/>
          </v:shape>
        </w:pict>
      </w:r>
      <w:r w:rsidR="00B6564B">
        <w:fldChar w:fldCharType="end"/>
      </w:r>
      <w:r w:rsidR="005B0186">
        <w:fldChar w:fldCharType="end"/>
      </w:r>
      <w:r>
        <w:fldChar w:fldCharType="end"/>
      </w:r>
      <w:r>
        <w:rPr>
          <w:rFonts w:ascii="Verdana" w:hAnsi="Verdana"/>
          <w:color w:val="333333"/>
          <w:sz w:val="18"/>
          <w:szCs w:val="18"/>
        </w:rPr>
        <w:br/>
      </w:r>
      <w:r>
        <w:rPr>
          <w:rFonts w:ascii="Verdana" w:hAnsi="Verdana"/>
          <w:color w:val="333333"/>
          <w:sz w:val="18"/>
          <w:szCs w:val="18"/>
          <w:shd w:val="clear" w:color="auto" w:fill="FFFFFF"/>
        </w:rPr>
        <w:t xml:space="preserve">Early in World War II, on February 19, 1942, President Franklin Roosevelt issued Executive </w:t>
      </w:r>
      <w:r>
        <w:rPr>
          <w:rFonts w:ascii="Verdana" w:hAnsi="Verdana"/>
          <w:color w:val="333333"/>
          <w:sz w:val="18"/>
          <w:szCs w:val="18"/>
          <w:shd w:val="clear" w:color="auto" w:fill="FFFFFF"/>
        </w:rPr>
        <w:lastRenderedPageBreak/>
        <w:t>Order 9066, granting the U.S. military the power to ban tens of thousands of American citizens of Japanese ancestry from areas deemed critical to domestic security. Promptly exercising the power so bestowed, the military then issued an order banning "all persons of Japanese ancestry, both alien and non-alien" from a designated coastal area stretching from Washington State to southern Arizona, and hastily set up internment camps to hold the Japanese Americans for the duration of the war. In defiance of the order, Fred Korematsu, an American-born citizen of Japanese descent, refused to leave his home in San Leandro, California. Duly convicted, he appealed, and in 1944 his case reached the Supreme Court.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A 6-3 majority on the Court upheld Korematsu's conviction.</w:t>
      </w: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8A7C98">
      <w:pPr>
        <w:rPr>
          <w:b/>
          <w:bCs/>
          <w:sz w:val="28"/>
        </w:rPr>
      </w:pPr>
      <w:r>
        <w:rPr>
          <w:b/>
          <w:bCs/>
          <w:sz w:val="28"/>
        </w:rPr>
        <w:t>A:  C</w:t>
      </w:r>
    </w:p>
    <w:p w:rsidR="00404E90" w:rsidRDefault="00404E90">
      <w:pPr>
        <w:rPr>
          <w:b/>
          <w:bCs/>
        </w:rPr>
      </w:pPr>
    </w:p>
    <w:p w:rsidR="00404E90" w:rsidRDefault="008A7C98">
      <w:pPr>
        <w:rPr>
          <w:b/>
          <w:bCs/>
        </w:rPr>
      </w:pPr>
      <w:r>
        <w:rPr>
          <w:rFonts w:ascii="Arial" w:hAnsi="Arial" w:cs="Arial"/>
          <w:b/>
          <w:bCs/>
          <w:sz w:val="27"/>
          <w:szCs w:val="27"/>
        </w:rPr>
        <w:t xml:space="preserve">A: </w:t>
      </w:r>
      <w:r>
        <w:rPr>
          <w:b/>
          <w:bCs/>
        </w:rPr>
        <w:t xml:space="preserve"> D</w:t>
      </w: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8A7C98" w:rsidRDefault="008A7C98"/>
    <w:sectPr w:rsidR="008A7C98">
      <w:headerReference w:type="default" r:id="rId11"/>
      <w:footerReference w:type="default" r:id="rId12"/>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64B" w:rsidRDefault="00B6564B">
      <w:r>
        <w:separator/>
      </w:r>
    </w:p>
  </w:endnote>
  <w:endnote w:type="continuationSeparator" w:id="0">
    <w:p w:rsidR="00B6564B" w:rsidRDefault="00B6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0" w:rsidRDefault="00404E90">
    <w:pPr>
      <w:tabs>
        <w:tab w:val="center" w:pos="4320"/>
        <w:tab w:val="right" w:pos="8640"/>
      </w:tabs>
      <w:rPr>
        <w:kern w:val="0"/>
      </w:rPr>
    </w:pPr>
  </w:p>
  <w:p w:rsidR="00404E90" w:rsidRDefault="00404E9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64B" w:rsidRDefault="00B6564B">
      <w:r>
        <w:separator/>
      </w:r>
    </w:p>
  </w:footnote>
  <w:footnote w:type="continuationSeparator" w:id="0">
    <w:p w:rsidR="00B6564B" w:rsidRDefault="00B6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0" w:rsidRDefault="00404E90">
    <w:pPr>
      <w:tabs>
        <w:tab w:val="center" w:pos="4320"/>
        <w:tab w:val="right" w:pos="8640"/>
      </w:tabs>
      <w:rPr>
        <w:kern w:val="0"/>
      </w:rPr>
    </w:pPr>
  </w:p>
  <w:p w:rsidR="00404E90" w:rsidRDefault="00404E9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6836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0CF8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FA93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449A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47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D88D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C65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C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E2F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54C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B3F02"/>
    <w:multiLevelType w:val="hybridMultilevel"/>
    <w:tmpl w:val="C28CE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35044D"/>
    <w:multiLevelType w:val="multilevel"/>
    <w:tmpl w:val="473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64B9F"/>
    <w:multiLevelType w:val="hybridMultilevel"/>
    <w:tmpl w:val="FF227DF8"/>
    <w:lvl w:ilvl="0" w:tplc="20BAC90A">
      <w:start w:val="1"/>
      <w:numFmt w:val="decimal"/>
      <w:lvlText w:val="%1."/>
      <w:lvlJc w:val="left"/>
      <w:pPr>
        <w:tabs>
          <w:tab w:val="num" w:pos="720"/>
        </w:tabs>
        <w:ind w:left="720" w:hanging="360"/>
      </w:pPr>
      <w:rPr>
        <w:rFonts w:ascii="Lucida Sans Unicode" w:hAnsi="Lucida Sans Unicode" w:cs="Lucida Sans Unicode" w:hint="default"/>
        <w:b/>
        <w:color w:val="333333"/>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C3446F"/>
    <w:multiLevelType w:val="multilevel"/>
    <w:tmpl w:val="1AAC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3D6B6B"/>
    <w:multiLevelType w:val="hybridMultilevel"/>
    <w:tmpl w:val="4DE02464"/>
    <w:lvl w:ilvl="0" w:tplc="8E70E0A4">
      <w:start w:val="1"/>
      <w:numFmt w:val="bullet"/>
      <w:lvlText w:val=""/>
      <w:lvlJc w:val="left"/>
      <w:pPr>
        <w:tabs>
          <w:tab w:val="num" w:pos="720"/>
        </w:tabs>
        <w:ind w:left="720" w:hanging="360"/>
      </w:pPr>
      <w:rPr>
        <w:rFonts w:ascii="Symbol" w:hAnsi="Symbol" w:hint="default"/>
        <w:sz w:val="20"/>
      </w:rPr>
    </w:lvl>
    <w:lvl w:ilvl="1" w:tplc="B26EC378" w:tentative="1">
      <w:start w:val="1"/>
      <w:numFmt w:val="bullet"/>
      <w:lvlText w:val="o"/>
      <w:lvlJc w:val="left"/>
      <w:pPr>
        <w:tabs>
          <w:tab w:val="num" w:pos="1440"/>
        </w:tabs>
        <w:ind w:left="1440" w:hanging="360"/>
      </w:pPr>
      <w:rPr>
        <w:rFonts w:ascii="Courier New" w:hAnsi="Courier New" w:hint="default"/>
        <w:sz w:val="20"/>
      </w:rPr>
    </w:lvl>
    <w:lvl w:ilvl="2" w:tplc="82B0FDA4" w:tentative="1">
      <w:start w:val="1"/>
      <w:numFmt w:val="bullet"/>
      <w:lvlText w:val=""/>
      <w:lvlJc w:val="left"/>
      <w:pPr>
        <w:tabs>
          <w:tab w:val="num" w:pos="2160"/>
        </w:tabs>
        <w:ind w:left="2160" w:hanging="360"/>
      </w:pPr>
      <w:rPr>
        <w:rFonts w:ascii="Wingdings" w:hAnsi="Wingdings" w:hint="default"/>
        <w:sz w:val="20"/>
      </w:rPr>
    </w:lvl>
    <w:lvl w:ilvl="3" w:tplc="3C642EC8" w:tentative="1">
      <w:start w:val="1"/>
      <w:numFmt w:val="bullet"/>
      <w:lvlText w:val=""/>
      <w:lvlJc w:val="left"/>
      <w:pPr>
        <w:tabs>
          <w:tab w:val="num" w:pos="2880"/>
        </w:tabs>
        <w:ind w:left="2880" w:hanging="360"/>
      </w:pPr>
      <w:rPr>
        <w:rFonts w:ascii="Wingdings" w:hAnsi="Wingdings" w:hint="default"/>
        <w:sz w:val="20"/>
      </w:rPr>
    </w:lvl>
    <w:lvl w:ilvl="4" w:tplc="20A6E2F0" w:tentative="1">
      <w:start w:val="1"/>
      <w:numFmt w:val="bullet"/>
      <w:lvlText w:val=""/>
      <w:lvlJc w:val="left"/>
      <w:pPr>
        <w:tabs>
          <w:tab w:val="num" w:pos="3600"/>
        </w:tabs>
        <w:ind w:left="3600" w:hanging="360"/>
      </w:pPr>
      <w:rPr>
        <w:rFonts w:ascii="Wingdings" w:hAnsi="Wingdings" w:hint="default"/>
        <w:sz w:val="20"/>
      </w:rPr>
    </w:lvl>
    <w:lvl w:ilvl="5" w:tplc="A7A29CBA" w:tentative="1">
      <w:start w:val="1"/>
      <w:numFmt w:val="bullet"/>
      <w:lvlText w:val=""/>
      <w:lvlJc w:val="left"/>
      <w:pPr>
        <w:tabs>
          <w:tab w:val="num" w:pos="4320"/>
        </w:tabs>
        <w:ind w:left="4320" w:hanging="360"/>
      </w:pPr>
      <w:rPr>
        <w:rFonts w:ascii="Wingdings" w:hAnsi="Wingdings" w:hint="default"/>
        <w:sz w:val="20"/>
      </w:rPr>
    </w:lvl>
    <w:lvl w:ilvl="6" w:tplc="05B2E424" w:tentative="1">
      <w:start w:val="1"/>
      <w:numFmt w:val="bullet"/>
      <w:lvlText w:val=""/>
      <w:lvlJc w:val="left"/>
      <w:pPr>
        <w:tabs>
          <w:tab w:val="num" w:pos="5040"/>
        </w:tabs>
        <w:ind w:left="5040" w:hanging="360"/>
      </w:pPr>
      <w:rPr>
        <w:rFonts w:ascii="Wingdings" w:hAnsi="Wingdings" w:hint="default"/>
        <w:sz w:val="20"/>
      </w:rPr>
    </w:lvl>
    <w:lvl w:ilvl="7" w:tplc="B4DCFFE6" w:tentative="1">
      <w:start w:val="1"/>
      <w:numFmt w:val="bullet"/>
      <w:lvlText w:val=""/>
      <w:lvlJc w:val="left"/>
      <w:pPr>
        <w:tabs>
          <w:tab w:val="num" w:pos="5760"/>
        </w:tabs>
        <w:ind w:left="5760" w:hanging="360"/>
      </w:pPr>
      <w:rPr>
        <w:rFonts w:ascii="Wingdings" w:hAnsi="Wingdings" w:hint="default"/>
        <w:sz w:val="20"/>
      </w:rPr>
    </w:lvl>
    <w:lvl w:ilvl="8" w:tplc="C032F71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82AA6"/>
    <w:multiLevelType w:val="multilevel"/>
    <w:tmpl w:val="D45A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47599"/>
    <w:multiLevelType w:val="hybridMultilevel"/>
    <w:tmpl w:val="01627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B751FC"/>
    <w:multiLevelType w:val="multilevel"/>
    <w:tmpl w:val="8186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56875"/>
    <w:multiLevelType w:val="hybridMultilevel"/>
    <w:tmpl w:val="23C21BCC"/>
    <w:lvl w:ilvl="0" w:tplc="A976BF82">
      <w:start w:val="1"/>
      <w:numFmt w:val="bullet"/>
      <w:lvlText w:val=""/>
      <w:lvlJc w:val="left"/>
      <w:pPr>
        <w:tabs>
          <w:tab w:val="num" w:pos="720"/>
        </w:tabs>
        <w:ind w:left="720" w:hanging="360"/>
      </w:pPr>
      <w:rPr>
        <w:rFonts w:ascii="Symbol" w:hAnsi="Symbol" w:hint="default"/>
        <w:sz w:val="20"/>
      </w:rPr>
    </w:lvl>
    <w:lvl w:ilvl="1" w:tplc="513608DE" w:tentative="1">
      <w:start w:val="1"/>
      <w:numFmt w:val="bullet"/>
      <w:lvlText w:val="o"/>
      <w:lvlJc w:val="left"/>
      <w:pPr>
        <w:tabs>
          <w:tab w:val="num" w:pos="1440"/>
        </w:tabs>
        <w:ind w:left="1440" w:hanging="360"/>
      </w:pPr>
      <w:rPr>
        <w:rFonts w:ascii="Courier New" w:hAnsi="Courier New" w:hint="default"/>
        <w:sz w:val="20"/>
      </w:rPr>
    </w:lvl>
    <w:lvl w:ilvl="2" w:tplc="96666BFE" w:tentative="1">
      <w:start w:val="1"/>
      <w:numFmt w:val="bullet"/>
      <w:lvlText w:val=""/>
      <w:lvlJc w:val="left"/>
      <w:pPr>
        <w:tabs>
          <w:tab w:val="num" w:pos="2160"/>
        </w:tabs>
        <w:ind w:left="2160" w:hanging="360"/>
      </w:pPr>
      <w:rPr>
        <w:rFonts w:ascii="Wingdings" w:hAnsi="Wingdings" w:hint="default"/>
        <w:sz w:val="20"/>
      </w:rPr>
    </w:lvl>
    <w:lvl w:ilvl="3" w:tplc="63DA42B0" w:tentative="1">
      <w:start w:val="1"/>
      <w:numFmt w:val="bullet"/>
      <w:lvlText w:val=""/>
      <w:lvlJc w:val="left"/>
      <w:pPr>
        <w:tabs>
          <w:tab w:val="num" w:pos="2880"/>
        </w:tabs>
        <w:ind w:left="2880" w:hanging="360"/>
      </w:pPr>
      <w:rPr>
        <w:rFonts w:ascii="Wingdings" w:hAnsi="Wingdings" w:hint="default"/>
        <w:sz w:val="20"/>
      </w:rPr>
    </w:lvl>
    <w:lvl w:ilvl="4" w:tplc="B1685C9E" w:tentative="1">
      <w:start w:val="1"/>
      <w:numFmt w:val="bullet"/>
      <w:lvlText w:val=""/>
      <w:lvlJc w:val="left"/>
      <w:pPr>
        <w:tabs>
          <w:tab w:val="num" w:pos="3600"/>
        </w:tabs>
        <w:ind w:left="3600" w:hanging="360"/>
      </w:pPr>
      <w:rPr>
        <w:rFonts w:ascii="Wingdings" w:hAnsi="Wingdings" w:hint="default"/>
        <w:sz w:val="20"/>
      </w:rPr>
    </w:lvl>
    <w:lvl w:ilvl="5" w:tplc="A4E429AC" w:tentative="1">
      <w:start w:val="1"/>
      <w:numFmt w:val="bullet"/>
      <w:lvlText w:val=""/>
      <w:lvlJc w:val="left"/>
      <w:pPr>
        <w:tabs>
          <w:tab w:val="num" w:pos="4320"/>
        </w:tabs>
        <w:ind w:left="4320" w:hanging="360"/>
      </w:pPr>
      <w:rPr>
        <w:rFonts w:ascii="Wingdings" w:hAnsi="Wingdings" w:hint="default"/>
        <w:sz w:val="20"/>
      </w:rPr>
    </w:lvl>
    <w:lvl w:ilvl="6" w:tplc="1EC6D4D6" w:tentative="1">
      <w:start w:val="1"/>
      <w:numFmt w:val="bullet"/>
      <w:lvlText w:val=""/>
      <w:lvlJc w:val="left"/>
      <w:pPr>
        <w:tabs>
          <w:tab w:val="num" w:pos="5040"/>
        </w:tabs>
        <w:ind w:left="5040" w:hanging="360"/>
      </w:pPr>
      <w:rPr>
        <w:rFonts w:ascii="Wingdings" w:hAnsi="Wingdings" w:hint="default"/>
        <w:sz w:val="20"/>
      </w:rPr>
    </w:lvl>
    <w:lvl w:ilvl="7" w:tplc="C502557C" w:tentative="1">
      <w:start w:val="1"/>
      <w:numFmt w:val="bullet"/>
      <w:lvlText w:val=""/>
      <w:lvlJc w:val="left"/>
      <w:pPr>
        <w:tabs>
          <w:tab w:val="num" w:pos="5760"/>
        </w:tabs>
        <w:ind w:left="5760" w:hanging="360"/>
      </w:pPr>
      <w:rPr>
        <w:rFonts w:ascii="Wingdings" w:hAnsi="Wingdings" w:hint="default"/>
        <w:sz w:val="20"/>
      </w:rPr>
    </w:lvl>
    <w:lvl w:ilvl="8" w:tplc="DFE2A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07561D"/>
    <w:multiLevelType w:val="multilevel"/>
    <w:tmpl w:val="9A2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6768D4"/>
    <w:multiLevelType w:val="multilevel"/>
    <w:tmpl w:val="D39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7"/>
  </w:num>
  <w:num w:numId="14">
    <w:abstractNumId w:val="11"/>
  </w:num>
  <w:num w:numId="15">
    <w:abstractNumId w:val="13"/>
  </w:num>
  <w:num w:numId="16">
    <w:abstractNumId w:val="19"/>
  </w:num>
  <w:num w:numId="17">
    <w:abstractNumId w:val="20"/>
  </w:num>
  <w:num w:numId="18">
    <w:abstractNumId w:val="15"/>
  </w:num>
  <w:num w:numId="19">
    <w:abstractNumId w:val="18"/>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FA1B76"/>
    <w:rsid w:val="000C4524"/>
    <w:rsid w:val="001E20BC"/>
    <w:rsid w:val="00404E90"/>
    <w:rsid w:val="005B0186"/>
    <w:rsid w:val="008A7C98"/>
    <w:rsid w:val="00962D6F"/>
    <w:rsid w:val="00B6564B"/>
    <w:rsid w:val="00FA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E90F4"/>
  <w15:docId w15:val="{14606C66-5E54-4C94-BC45-1B9A89FB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paragraph" w:styleId="Heading1">
    <w:name w:val="heading 1"/>
    <w:basedOn w:val="Normal"/>
    <w:next w:val="Normal"/>
    <w:qFormat/>
    <w:pPr>
      <w:keepNext/>
      <w:widowControl/>
      <w:overflowPunct/>
      <w:adjustRightInd/>
      <w:outlineLvl w:val="0"/>
    </w:pPr>
    <w:rPr>
      <w:b/>
      <w:bCs/>
      <w:color w:val="000000"/>
      <w:sz w:val="28"/>
      <w:szCs w:val="27"/>
    </w:rPr>
  </w:style>
  <w:style w:type="paragraph" w:styleId="Heading2">
    <w:name w:val="heading 2"/>
    <w:basedOn w:val="Normal"/>
    <w:qFormat/>
    <w:pPr>
      <w:widowControl/>
      <w:overflowPunct/>
      <w:adjustRightInd/>
      <w:spacing w:before="100" w:beforeAutospacing="1" w:after="100" w:afterAutospacing="1"/>
      <w:outlineLvl w:val="1"/>
    </w:pPr>
    <w:rPr>
      <w:b/>
      <w:bCs/>
      <w:kern w:val="0"/>
      <w:sz w:val="36"/>
      <w:szCs w:val="36"/>
    </w:rPr>
  </w:style>
  <w:style w:type="paragraph" w:styleId="Heading3">
    <w:name w:val="heading 3"/>
    <w:basedOn w:val="Normal"/>
    <w:qFormat/>
    <w:pPr>
      <w:widowControl/>
      <w:overflowPunct/>
      <w:adjustRightInd/>
      <w:spacing w:before="100" w:beforeAutospacing="1" w:after="100" w:afterAutospacing="1"/>
      <w:outlineLvl w:val="2"/>
    </w:pPr>
    <w:rPr>
      <w:rFonts w:ascii="Arial Unicode MS" w:eastAsia="Arial Unicode MS" w:hAnsi="Arial Unicode MS" w:cs="Arial Unicode MS"/>
      <w:b/>
      <w:bCs/>
      <w:kern w:val="0"/>
      <w:sz w:val="27"/>
      <w:szCs w:val="27"/>
    </w:rPr>
  </w:style>
  <w:style w:type="paragraph" w:styleId="Heading4">
    <w:name w:val="heading 4"/>
    <w:basedOn w:val="Normal"/>
    <w:next w:val="Normal"/>
    <w:qFormat/>
    <w:pPr>
      <w:keepNext/>
      <w:outlineLvl w:val="3"/>
    </w:pPr>
    <w:rPr>
      <w:b/>
      <w:bCs/>
      <w:color w:val="00000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
    <w:name w:val="hw"/>
    <w:basedOn w:val="DefaultParagraphFont"/>
  </w:style>
  <w:style w:type="character" w:customStyle="1" w:styleId="apple-converted-space">
    <w:name w:val="apple-converted-space"/>
    <w:basedOn w:val="DefaultParagraphFont"/>
  </w:style>
  <w:style w:type="character" w:styleId="Strong">
    <w:name w:val="Strong"/>
    <w:qFormat/>
    <w:rPr>
      <w:b/>
      <w:bCs/>
    </w:rPr>
  </w:style>
  <w:style w:type="character" w:styleId="Hyperlink">
    <w:name w:val="Hyperlink"/>
    <w:semiHidden/>
    <w:rPr>
      <w:color w:val="0000FF"/>
      <w:u w:val="single"/>
    </w:rPr>
  </w:style>
  <w:style w:type="character" w:customStyle="1" w:styleId="style106">
    <w:name w:val="style106"/>
    <w:basedOn w:val="DefaultParagraphFont"/>
  </w:style>
  <w:style w:type="character" w:customStyle="1" w:styleId="pron">
    <w:name w:val="pron"/>
    <w:basedOn w:val="DefaultParagraphFont"/>
  </w:style>
  <w:style w:type="paragraph" w:customStyle="1" w:styleId="wordfunction">
    <w:name w:val="word_function"/>
    <w:basedOn w:val="Normal"/>
    <w:pPr>
      <w:widowControl/>
      <w:overflowPunct/>
      <w:adjustRightInd/>
      <w:spacing w:before="100" w:beforeAutospacing="1" w:after="100" w:afterAutospacing="1"/>
    </w:pPr>
    <w:rPr>
      <w:kern w:val="0"/>
    </w:rPr>
  </w:style>
  <w:style w:type="character" w:customStyle="1" w:styleId="ssens">
    <w:name w:val="ssens"/>
    <w:basedOn w:val="DefaultParagraphFont"/>
  </w:style>
  <w:style w:type="character" w:styleId="Emphasis">
    <w:name w:val="Emphasis"/>
    <w:qFormat/>
    <w:rPr>
      <w:i/>
      <w:iCs/>
    </w:rPr>
  </w:style>
  <w:style w:type="character" w:customStyle="1" w:styleId="break2">
    <w:name w:val="break2"/>
    <w:basedOn w:val="DefaultParagraphFont"/>
  </w:style>
  <w:style w:type="character" w:customStyle="1" w:styleId="nbsp1">
    <w:name w:val="nbsp1"/>
    <w:basedOn w:val="DefaultParagraphFont"/>
  </w:style>
  <w:style w:type="paragraph" w:styleId="NormalWeb">
    <w:name w:val="Normal (Web)"/>
    <w:basedOn w:val="Normal"/>
    <w:semiHidden/>
    <w:pPr>
      <w:widowControl/>
      <w:overflowPunct/>
      <w:adjustRightInd/>
      <w:spacing w:before="100" w:beforeAutospacing="1" w:after="100" w:afterAutospacing="1"/>
    </w:pPr>
    <w:rPr>
      <w:kern w:val="0"/>
    </w:rPr>
  </w:style>
  <w:style w:type="paragraph" w:customStyle="1" w:styleId="authorname">
    <w:name w:val="authorname"/>
    <w:basedOn w:val="Normal"/>
    <w:pPr>
      <w:widowControl/>
      <w:overflowPunct/>
      <w:adjustRightInd/>
      <w:spacing w:before="100" w:beforeAutospacing="1" w:after="100" w:afterAutospacing="1"/>
    </w:pPr>
    <w:rPr>
      <w:kern w:val="0"/>
    </w:rPr>
  </w:style>
  <w:style w:type="character" w:customStyle="1" w:styleId="int-chad-question-title-text">
    <w:name w:val="int-chad-question-title-text"/>
    <w:basedOn w:val="DefaultParagraphFont"/>
  </w:style>
  <w:style w:type="paragraph" w:customStyle="1" w:styleId="int-chad-option-title">
    <w:name w:val="int-chad-option-title"/>
    <w:basedOn w:val="Normal"/>
    <w:pPr>
      <w:widowControl/>
      <w:overflowPunct/>
      <w:adjustRightInd/>
      <w:spacing w:before="100" w:beforeAutospacing="1" w:after="100" w:afterAutospacing="1"/>
    </w:pPr>
    <w:rPr>
      <w:rFonts w:ascii="Arial Unicode MS" w:eastAsia="Arial Unicode MS" w:hAnsi="Arial Unicode MS" w:cs="Arial Unicode MS"/>
      <w:kern w:val="0"/>
    </w:rPr>
  </w:style>
  <w:style w:type="paragraph" w:customStyle="1" w:styleId="int-chad-option-explanation">
    <w:name w:val="int-chad-option-explanation"/>
    <w:basedOn w:val="Normal"/>
    <w:pPr>
      <w:widowControl/>
      <w:overflowPunct/>
      <w:adjustRightInd/>
      <w:spacing w:before="100" w:beforeAutospacing="1" w:after="100" w:afterAutospacing="1"/>
    </w:pPr>
    <w:rPr>
      <w:rFonts w:ascii="Arial Unicode MS" w:eastAsia="Arial Unicode MS" w:hAnsi="Arial Unicode MS" w:cs="Arial Unicode MS"/>
      <w:kern w:val="0"/>
    </w:rPr>
  </w:style>
  <w:style w:type="paragraph" w:styleId="BodyText">
    <w:name w:val="Body Text"/>
    <w:basedOn w:val="Normal"/>
    <w:semiHidden/>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bs.org/wnet/supremecourt/personality/images/korematsu.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www.pbs.org/wnet/supremecourt/personality/images/dotted_line.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Big 3 Warm Up 11/11</vt:lpstr>
    </vt:vector>
  </TitlesOfParts>
  <Company>WCS</Company>
  <LinksUpToDate>false</LinksUpToDate>
  <CharactersWithSpaces>3340</CharactersWithSpaces>
  <SharedDoc>false</SharedDoc>
  <HLinks>
    <vt:vector size="12" baseType="variant">
      <vt:variant>
        <vt:i4>852035</vt:i4>
      </vt:variant>
      <vt:variant>
        <vt:i4>2524</vt:i4>
      </vt:variant>
      <vt:variant>
        <vt:i4>1025</vt:i4>
      </vt:variant>
      <vt:variant>
        <vt:i4>1</vt:i4>
      </vt:variant>
      <vt:variant>
        <vt:lpwstr>http://www.pbs.org/wnet/supremecourt/personality/images/korematsu.jpg</vt:lpwstr>
      </vt:variant>
      <vt:variant>
        <vt:lpwstr/>
      </vt:variant>
      <vt:variant>
        <vt:i4>7405597</vt:i4>
      </vt:variant>
      <vt:variant>
        <vt:i4>3034</vt:i4>
      </vt:variant>
      <vt:variant>
        <vt:i4>1026</vt:i4>
      </vt:variant>
      <vt:variant>
        <vt:i4>1</vt:i4>
      </vt:variant>
      <vt:variant>
        <vt:lpwstr>http://www.pbs.org/wnet/supremecourt/personality/images/dotted_line.gif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11/11</dc:title>
  <dc:creator>Mr Kay</dc:creator>
  <cp:lastModifiedBy>Windows User</cp:lastModifiedBy>
  <cp:revision>2</cp:revision>
  <dcterms:created xsi:type="dcterms:W3CDTF">2016-12-16T12:22:00Z</dcterms:created>
  <dcterms:modified xsi:type="dcterms:W3CDTF">2016-12-16T12:22:00Z</dcterms:modified>
</cp:coreProperties>
</file>